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b w:val="1"/>
        </w:rPr>
      </w:pPr>
      <w:r w:rsidDel="00000000" w:rsidR="00000000" w:rsidRPr="00000000">
        <w:rPr>
          <w:b w:val="1"/>
          <w:rtl w:val="0"/>
        </w:rPr>
        <w:t xml:space="preserve">MINISTRY OF PORTS, SHIPPING AND WATERWAYS</w:t>
      </w:r>
    </w:p>
    <w:p w:rsidR="00000000" w:rsidDel="00000000" w:rsidP="00000000" w:rsidRDefault="00000000" w:rsidRPr="00000000" w14:paraId="00000002">
      <w:pPr>
        <w:spacing w:after="200" w:line="276" w:lineRule="auto"/>
        <w:jc w:val="center"/>
        <w:rPr>
          <w:b w:val="1"/>
        </w:rPr>
      </w:pPr>
      <w:r w:rsidDel="00000000" w:rsidR="00000000" w:rsidRPr="00000000">
        <w:rPr>
          <w:b w:val="1"/>
          <w:rtl w:val="0"/>
        </w:rPr>
        <w:t xml:space="preserve">NOTIFICATION</w:t>
      </w:r>
    </w:p>
    <w:p w:rsidR="00000000" w:rsidDel="00000000" w:rsidP="00000000" w:rsidRDefault="00000000" w:rsidRPr="00000000" w14:paraId="00000003">
      <w:pPr>
        <w:spacing w:after="200" w:line="276" w:lineRule="auto"/>
        <w:jc w:val="center"/>
        <w:rPr>
          <w:b w:val="1"/>
        </w:rPr>
      </w:pPr>
      <w:r w:rsidDel="00000000" w:rsidR="00000000" w:rsidRPr="00000000">
        <w:rPr>
          <w:b w:val="1"/>
          <w:rtl w:val="0"/>
        </w:rPr>
        <w:t xml:space="preserve">New Delhi, the _______day of____________</w:t>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b w:val="1"/>
          <w:rtl w:val="0"/>
        </w:rPr>
        <w:t xml:space="preserve">G.S.R. ____.–  </w:t>
      </w:r>
      <w:r w:rsidDel="00000000" w:rsidR="00000000" w:rsidRPr="00000000">
        <w:rPr>
          <w:rtl w:val="0"/>
        </w:rPr>
        <w:t xml:space="preserve">In exercise of the powers conferred by section 174 of the Merchant Shipping Act, 2025 (24 of 2025), and in supersession of the Merchant Shipping </w:t>
      </w:r>
      <w:r w:rsidDel="00000000" w:rsidR="00000000" w:rsidRPr="00000000">
        <w:rPr>
          <w:rtl w:val="0"/>
        </w:rPr>
        <w:t xml:space="preserve">(Limitation of Liability for Maritime Claims</w:t>
      </w:r>
      <w:r w:rsidDel="00000000" w:rsidR="00000000" w:rsidRPr="00000000">
        <w:rPr>
          <w:rtl w:val="0"/>
        </w:rPr>
        <w:t xml:space="preserve">) Rules, 2015, and any subsequent amendments, orders, or notices issued in relation thereto, the Central Government hereby makes the following rules, namely: - </w:t>
      </w: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b w:val="1"/>
          <w:rtl w:val="0"/>
        </w:rPr>
        <w:t xml:space="preserve">1. Short title and commencement.</w:t>
      </w:r>
      <w:r w:rsidDel="00000000" w:rsidR="00000000" w:rsidRPr="00000000">
        <w:rPr>
          <w:rtl w:val="0"/>
        </w:rPr>
        <w:t xml:space="preserve">– </w:t>
      </w:r>
      <w:r w:rsidDel="00000000" w:rsidR="00000000" w:rsidRPr="00000000">
        <w:rPr>
          <w:i w:val="1"/>
          <w:rtl w:val="0"/>
        </w:rPr>
        <w:t xml:space="preserve">(l)</w:t>
      </w:r>
      <w:r w:rsidDel="00000000" w:rsidR="00000000" w:rsidRPr="00000000">
        <w:rPr>
          <w:rtl w:val="0"/>
        </w:rPr>
        <w:t xml:space="preserve"> These rules may be called the Merchant Shipping (Limitation of Liability for Maritime Claims) Rules, 2025.</w:t>
      </w:r>
    </w:p>
    <w:p w:rsidR="00000000" w:rsidDel="00000000" w:rsidP="00000000" w:rsidRDefault="00000000" w:rsidRPr="00000000" w14:paraId="00000008">
      <w:pPr>
        <w:spacing w:line="276" w:lineRule="auto"/>
        <w:ind w:firstLine="0"/>
        <w:rPr/>
      </w:pPr>
      <w:r w:rsidDel="00000000" w:rsidR="00000000" w:rsidRPr="00000000">
        <w:rPr>
          <w:i w:val="1"/>
          <w:rtl w:val="0"/>
        </w:rPr>
        <w:t xml:space="preserve">(2)</w:t>
      </w:r>
      <w:r w:rsidDel="00000000" w:rsidR="00000000" w:rsidRPr="00000000">
        <w:rPr>
          <w:b w:val="1"/>
          <w:rtl w:val="0"/>
        </w:rPr>
        <w:t xml:space="preserve"> </w:t>
      </w:r>
      <w:r w:rsidDel="00000000" w:rsidR="00000000" w:rsidRPr="00000000">
        <w:rPr>
          <w:rtl w:val="0"/>
        </w:rPr>
        <w:t xml:space="preserve">They shall come into force on the date of their publication in the Official Gazette.</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b w:val="1"/>
          <w:rtl w:val="0"/>
        </w:rPr>
        <w:t xml:space="preserve">2. Scope and Application.- </w:t>
      </w:r>
      <w:r w:rsidDel="00000000" w:rsidR="00000000" w:rsidRPr="00000000">
        <w:rPr>
          <w:i w:val="1"/>
          <w:rtl w:val="0"/>
        </w:rPr>
        <w:t xml:space="preserve">(1)</w:t>
      </w:r>
      <w:r w:rsidDel="00000000" w:rsidR="00000000" w:rsidRPr="00000000">
        <w:rPr>
          <w:rtl w:val="0"/>
        </w:rPr>
        <w:t xml:space="preserve"> These Rules shall apply to: </w:t>
      </w:r>
    </w:p>
    <w:p w:rsidR="00000000" w:rsidDel="00000000" w:rsidP="00000000" w:rsidRDefault="00000000" w:rsidRPr="00000000" w14:paraId="0000000B">
      <w:pPr>
        <w:spacing w:line="276" w:lineRule="auto"/>
        <w:rPr/>
      </w:pPr>
      <w:r w:rsidDel="00000000" w:rsidR="00000000" w:rsidRPr="00000000">
        <w:rPr>
          <w:i w:val="1"/>
          <w:rtl w:val="0"/>
        </w:rPr>
        <w:t xml:space="preserve">(a)</w:t>
      </w:r>
      <w:r w:rsidDel="00000000" w:rsidR="00000000" w:rsidRPr="00000000">
        <w:rPr>
          <w:rtl w:val="0"/>
        </w:rPr>
        <w:t xml:space="preserve"> every Indian ship within the jurisdiction of any contracting party to the Convention; and</w:t>
      </w:r>
    </w:p>
    <w:p w:rsidR="00000000" w:rsidDel="00000000" w:rsidP="00000000" w:rsidRDefault="00000000" w:rsidRPr="00000000" w14:paraId="0000000C">
      <w:pPr>
        <w:spacing w:line="276" w:lineRule="auto"/>
        <w:rPr/>
      </w:pPr>
      <w:r w:rsidDel="00000000" w:rsidR="00000000" w:rsidRPr="00000000">
        <w:rPr>
          <w:i w:val="1"/>
          <w:rtl w:val="0"/>
        </w:rPr>
        <w:t xml:space="preserve">(b)</w:t>
      </w:r>
      <w:r w:rsidDel="00000000" w:rsidR="00000000" w:rsidRPr="00000000">
        <w:rPr>
          <w:rtl w:val="0"/>
        </w:rPr>
        <w:t xml:space="preserve"> every foreign-flagged vessel while it is at a port or place in India, including the coastal waters. </w:t>
      </w:r>
    </w:p>
    <w:p w:rsidR="00000000" w:rsidDel="00000000" w:rsidP="00000000" w:rsidRDefault="00000000" w:rsidRPr="00000000" w14:paraId="0000000D">
      <w:pPr>
        <w:spacing w:line="276" w:lineRule="auto"/>
        <w:ind w:firstLine="0"/>
        <w:rPr/>
      </w:pPr>
      <w:r w:rsidDel="00000000" w:rsidR="00000000" w:rsidRPr="00000000">
        <w:rPr>
          <w:i w:val="1"/>
          <w:rtl w:val="0"/>
        </w:rPr>
        <w:t xml:space="preserve">(2)</w:t>
      </w:r>
      <w:r w:rsidDel="00000000" w:rsidR="00000000" w:rsidRPr="00000000">
        <w:rPr>
          <w:rtl w:val="0"/>
        </w:rPr>
        <w:t xml:space="preserve"> Nothing in these Rules shall affect the operation of any other law in force in India in respect of nuclear damage, oil pollution damage covered under other specific conventions, or liability governed by special enactments, including matters relating to the raising, removal, destruction or rendering harmless of a vessel that is sunk, wrecked, stranded or abandoned, or of anything, including cargo, that is or has been on board such vessel.</w:t>
      </w:r>
    </w:p>
    <w:p w:rsidR="00000000" w:rsidDel="00000000" w:rsidP="00000000" w:rsidRDefault="00000000" w:rsidRPr="00000000" w14:paraId="0000000E">
      <w:pPr>
        <w:spacing w:line="276" w:lineRule="auto"/>
        <w:ind w:firstLine="0"/>
        <w:rPr/>
      </w:pPr>
      <w:r w:rsidDel="00000000" w:rsidR="00000000" w:rsidRPr="00000000">
        <w:rPr>
          <w:i w:val="1"/>
          <w:rtl w:val="0"/>
        </w:rPr>
        <w:t xml:space="preserve">(3)</w:t>
      </w:r>
      <w:r w:rsidDel="00000000" w:rsidR="00000000" w:rsidRPr="00000000">
        <w:rPr>
          <w:rtl w:val="0"/>
        </w:rPr>
        <w:t xml:space="preserve"> Nothing in these rules shall prejudice any other limitation provisions applicable under any other law for the time being in force in India.</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b w:val="1"/>
          <w:rtl w:val="0"/>
        </w:rPr>
        <w:t xml:space="preserve">3. Definitions </w:t>
      </w:r>
      <w:r w:rsidDel="00000000" w:rsidR="00000000" w:rsidRPr="00000000">
        <w:rPr>
          <w:rtl w:val="0"/>
        </w:rPr>
        <w:t xml:space="preserve">– </w:t>
      </w:r>
      <w:r w:rsidDel="00000000" w:rsidR="00000000" w:rsidRPr="00000000">
        <w:rPr>
          <w:i w:val="1"/>
          <w:rtl w:val="0"/>
        </w:rPr>
        <w:t xml:space="preserve">(1)</w:t>
      </w:r>
      <w:r w:rsidDel="00000000" w:rsidR="00000000" w:rsidRPr="00000000">
        <w:rPr>
          <w:rtl w:val="0"/>
        </w:rPr>
        <w:t xml:space="preserve"> In these rules, unless the context otherwise requires; </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 means the Merchant Shipping Act, 2025 (24 of 2025);</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pPr>
      <w:bookmarkStart w:colFirst="0" w:colLast="0" w:name="_heading=h.4a56unsfxf4k"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“Convention” means the Convention on the Limitation of Liability for Maritime Claims, 1976, signed in London on the 19th day of November 1976, and subsequent protocols and/or amendments as applicable to India, if any;</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pPr>
      <w:bookmarkStart w:colFirst="0" w:colLast="0" w:name="_heading=h.gj4nksnnztvc" w:id="1"/>
      <w:bookmarkEnd w:id="1"/>
      <w:r w:rsidDel="00000000" w:rsidR="00000000" w:rsidRPr="00000000">
        <w:rPr>
          <w:rtl w:val="0"/>
        </w:rPr>
        <w:t xml:space="preserve">“Fund”, in relation to a vessel, means the limitation Fund constituted under section 168 of the Act;</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pPr>
      <w:bookmarkStart w:colFirst="0" w:colLast="0" w:name="_heading=h.4pr1j94xzmbj" w:id="2"/>
      <w:bookmarkEnd w:id="2"/>
      <w:r w:rsidDel="00000000" w:rsidR="00000000" w:rsidRPr="00000000">
        <w:rPr>
          <w:rtl w:val="0"/>
        </w:rPr>
        <w:t xml:space="preserve">“Liability”, in relation to the owner of a vessel, includes liability of the vessel herself;</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“maritime claim”, in relation to limitation of liability, means a claim as specified in section 162(1) of the Act;</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pP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tonnage”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the gross tonnage</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is calculated in accordance with the Merchant Shipping (Tonnage Measurement of Ships) Rules, 2025;</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pPr>
      <w:r w:rsidDel="00000000" w:rsidR="00000000" w:rsidRPr="00000000">
        <w:rPr>
          <w:rtl w:val="0"/>
        </w:rPr>
        <w:t xml:space="preserve">“unit of account” means the Special Drawing Rights as defined by the International Monetary Fund;</w:t>
      </w:r>
      <w:r w:rsidDel="00000000" w:rsidR="00000000" w:rsidRPr="00000000">
        <w:rPr>
          <w:rtl w:val="0"/>
        </w:rPr>
      </w:r>
    </w:p>
    <w:p w:rsidR="00000000" w:rsidDel="00000000" w:rsidP="00000000" w:rsidRDefault="00000000" w:rsidRPr="00000000" w14:paraId="00000018">
      <w:pPr>
        <w:spacing w:line="276" w:lineRule="auto"/>
        <w:ind w:firstLine="0"/>
        <w:rPr/>
      </w:pPr>
      <w:r w:rsidDel="00000000" w:rsidR="00000000" w:rsidRPr="00000000">
        <w:rPr>
          <w:i w:val="1"/>
          <w:rtl w:val="0"/>
        </w:rPr>
        <w:t xml:space="preserve">(2)</w:t>
      </w:r>
      <w:r w:rsidDel="00000000" w:rsidR="00000000" w:rsidRPr="00000000">
        <w:rPr>
          <w:rtl w:val="0"/>
        </w:rPr>
        <w:t xml:space="preserve"> words and expressions used herein and not defined but defined in the Act shall have the meanings respectively assigned to them in the Act.</w:t>
      </w:r>
    </w:p>
    <w:p w:rsidR="00000000" w:rsidDel="00000000" w:rsidP="00000000" w:rsidRDefault="00000000" w:rsidRPr="00000000" w14:paraId="00000019">
      <w:pPr>
        <w:spacing w:line="276" w:lineRule="auto"/>
        <w:rPr/>
      </w:pPr>
      <w:r w:rsidDel="00000000" w:rsidR="00000000" w:rsidRPr="00000000">
        <w:rPr>
          <w:rtl w:val="0"/>
        </w:rPr>
      </w:r>
    </w:p>
    <w:p w:rsidR="00000000" w:rsidDel="00000000" w:rsidP="00000000" w:rsidRDefault="00000000" w:rsidRPr="00000000" w14:paraId="0000001A">
      <w:pPr>
        <w:spacing w:line="276" w:lineRule="auto"/>
        <w:rPr/>
      </w:pPr>
      <w:sdt>
        <w:sdtPr>
          <w:id w:val="1936325866"/>
          <w:tag w:val="goog_rdk_0"/>
        </w:sdtPr>
        <w:sdtContent>
          <w:commentRangeStart w:id="0"/>
        </w:sdtContent>
      </w:sdt>
      <w:r w:rsidDel="00000000" w:rsidR="00000000" w:rsidRPr="00000000">
        <w:rPr>
          <w:b w:val="1"/>
          <w:rtl w:val="0"/>
        </w:rPr>
        <w:t xml:space="preserve">4. Persons Entitled to Limit Liability.- </w:t>
      </w:r>
      <w:commentRangeEnd w:id="0"/>
      <w:r w:rsidDel="00000000" w:rsidR="00000000" w:rsidRPr="00000000">
        <w:commentReference w:id="0"/>
      </w:r>
      <w:r w:rsidDel="00000000" w:rsidR="00000000" w:rsidRPr="00000000">
        <w:rPr>
          <w:i w:val="1"/>
          <w:rtl w:val="0"/>
        </w:rPr>
        <w:t xml:space="preserve">(1)</w:t>
      </w:r>
      <w:r w:rsidDel="00000000" w:rsidR="00000000" w:rsidRPr="00000000">
        <w:rPr>
          <w:rtl w:val="0"/>
        </w:rPr>
        <w:t xml:space="preserve"> Shipowners and salvors, as hereinafter defined, may limit their liability in accordance with</w:t>
      </w:r>
      <w:r w:rsidDel="00000000" w:rsidR="00000000" w:rsidRPr="00000000">
        <w:rPr>
          <w:shd w:fill="999999" w:val="clear"/>
          <w:rtl w:val="0"/>
        </w:rPr>
        <w:t xml:space="preserve"> the rules of this Convention for claims set out in subsection (1) of s</w:t>
      </w:r>
      <w:r w:rsidDel="00000000" w:rsidR="00000000" w:rsidRPr="00000000">
        <w:rPr>
          <w:shd w:fill="999999" w:val="clear"/>
          <w:rtl w:val="0"/>
        </w:rPr>
        <w:t xml:space="preserve">ection 162 of the Act.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B">
      <w:pPr>
        <w:spacing w:line="276" w:lineRule="auto"/>
        <w:ind w:firstLine="0"/>
        <w:rPr/>
      </w:pPr>
      <w:sdt>
        <w:sdtPr>
          <w:id w:val="-1206836570"/>
          <w:tag w:val="goog_rdk_1"/>
        </w:sdtPr>
        <w:sdtContent>
          <w:commentRangeStart w:id="1"/>
        </w:sdtContent>
      </w:sdt>
      <w:r w:rsidDel="00000000" w:rsidR="00000000" w:rsidRPr="00000000">
        <w:rPr>
          <w:i w:val="1"/>
          <w:rtl w:val="0"/>
        </w:rPr>
        <w:t xml:space="preserve">(2)</w:t>
      </w:r>
      <w:r w:rsidDel="00000000" w:rsidR="00000000" w:rsidRPr="00000000">
        <w:rPr>
          <w:rtl w:val="0"/>
        </w:rPr>
        <w:t xml:space="preserve"> The term “shipowner” shall mean the owner, charterer, manager, and operator of a seagoing ship. </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1C">
      <w:pPr>
        <w:spacing w:line="276" w:lineRule="auto"/>
        <w:ind w:firstLine="0"/>
        <w:rPr/>
      </w:pPr>
      <w:r w:rsidDel="00000000" w:rsidR="00000000" w:rsidRPr="00000000">
        <w:rPr>
          <w:i w:val="1"/>
          <w:rtl w:val="0"/>
        </w:rPr>
        <w:t xml:space="preserve">(3)</w:t>
      </w:r>
      <w:r w:rsidDel="00000000" w:rsidR="00000000" w:rsidRPr="00000000">
        <w:rPr>
          <w:rtl w:val="0"/>
        </w:rPr>
        <w:t xml:space="preserve"> Salvor shall mean any person rendering services in direct connection with salvage operations. Salvage operations shall also include operations referred to in subsection (1) of section 162, paragraph 1 (d), (e), and (f). </w:t>
      </w:r>
    </w:p>
    <w:p w:rsidR="00000000" w:rsidDel="00000000" w:rsidP="00000000" w:rsidRDefault="00000000" w:rsidRPr="00000000" w14:paraId="0000001D">
      <w:pPr>
        <w:spacing w:line="276" w:lineRule="auto"/>
        <w:ind w:firstLine="0"/>
        <w:rPr/>
      </w:pPr>
      <w:r w:rsidDel="00000000" w:rsidR="00000000" w:rsidRPr="00000000">
        <w:rPr>
          <w:i w:val="1"/>
          <w:rtl w:val="0"/>
        </w:rPr>
        <w:t xml:space="preserve">(4)</w:t>
      </w:r>
      <w:r w:rsidDel="00000000" w:rsidR="00000000" w:rsidRPr="00000000">
        <w:rPr>
          <w:rtl w:val="0"/>
        </w:rPr>
        <w:t xml:space="preserve"> If any claims set out in Article 2 are made against any person for whose act, neglect, or default the shipowner or salvor is responsible, such person shall be entitled to avail himself of the limitation of liability provided for in this Convention. </w:t>
      </w:r>
    </w:p>
    <w:p w:rsidR="00000000" w:rsidDel="00000000" w:rsidP="00000000" w:rsidRDefault="00000000" w:rsidRPr="00000000" w14:paraId="0000001E">
      <w:pPr>
        <w:spacing w:line="276" w:lineRule="auto"/>
        <w:ind w:firstLine="0"/>
        <w:rPr/>
      </w:pPr>
      <w:r w:rsidDel="00000000" w:rsidR="00000000" w:rsidRPr="00000000">
        <w:rPr>
          <w:i w:val="1"/>
          <w:rtl w:val="0"/>
        </w:rPr>
        <w:t xml:space="preserve">(5)</w:t>
      </w:r>
      <w:r w:rsidDel="00000000" w:rsidR="00000000" w:rsidRPr="00000000">
        <w:rPr>
          <w:rtl w:val="0"/>
        </w:rPr>
        <w:t xml:space="preserve"> In this Convention, the liability of a shipowner shall include liability in an action brought against the vessel herself. </w:t>
      </w:r>
    </w:p>
    <w:p w:rsidR="00000000" w:rsidDel="00000000" w:rsidP="00000000" w:rsidRDefault="00000000" w:rsidRPr="00000000" w14:paraId="0000001F">
      <w:pPr>
        <w:spacing w:line="276" w:lineRule="auto"/>
        <w:ind w:firstLine="0"/>
        <w:rPr/>
      </w:pPr>
      <w:r w:rsidDel="00000000" w:rsidR="00000000" w:rsidRPr="00000000">
        <w:rPr>
          <w:i w:val="1"/>
          <w:rtl w:val="0"/>
        </w:rPr>
        <w:t xml:space="preserve">(6)</w:t>
      </w:r>
      <w:r w:rsidDel="00000000" w:rsidR="00000000" w:rsidRPr="00000000">
        <w:rPr>
          <w:rtl w:val="0"/>
        </w:rPr>
        <w:t xml:space="preserve"> An insurer of liability for claims subject to limitation in accordance with the rules of this Convention shall be entitled to the benefits of this Convention to the same extent as the assured himself. </w:t>
      </w:r>
    </w:p>
    <w:p w:rsidR="00000000" w:rsidDel="00000000" w:rsidP="00000000" w:rsidRDefault="00000000" w:rsidRPr="00000000" w14:paraId="00000020">
      <w:pPr>
        <w:spacing w:line="276" w:lineRule="auto"/>
        <w:ind w:firstLine="0"/>
        <w:rPr/>
      </w:pPr>
      <w:r w:rsidDel="00000000" w:rsidR="00000000" w:rsidRPr="00000000">
        <w:rPr>
          <w:i w:val="1"/>
          <w:rtl w:val="0"/>
        </w:rPr>
        <w:t xml:space="preserve">(7)</w:t>
      </w:r>
      <w:r w:rsidDel="00000000" w:rsidR="00000000" w:rsidRPr="00000000">
        <w:rPr>
          <w:rtl w:val="0"/>
        </w:rPr>
        <w:t xml:space="preserve"> The act of invoking limitation of liability shall not constitute an admission of liability.</w:t>
      </w:r>
    </w:p>
    <w:p w:rsidR="00000000" w:rsidDel="00000000" w:rsidP="00000000" w:rsidRDefault="00000000" w:rsidRPr="00000000" w14:paraId="00000021">
      <w:pPr>
        <w:spacing w:line="276" w:lineRule="auto"/>
        <w:rPr>
          <w:b w:val="1"/>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b w:val="1"/>
          <w:rtl w:val="0"/>
        </w:rPr>
        <w:t xml:space="preserve">5. Limitation of liability for maritime claims.— </w:t>
      </w:r>
      <w:r w:rsidDel="00000000" w:rsidR="00000000" w:rsidRPr="00000000">
        <w:rPr>
          <w:i w:val="1"/>
          <w:rtl w:val="0"/>
        </w:rPr>
        <w:t xml:space="preserve">(1)</w:t>
      </w:r>
      <w:r w:rsidDel="00000000" w:rsidR="00000000" w:rsidRPr="00000000">
        <w:rPr>
          <w:rtl w:val="0"/>
        </w:rPr>
        <w:t xml:space="preserve"> Subject to the provisions of these Rules, the right of shipowners and other persons to limit their liability for maritime claims shall be as provided in section 162 of the Act, read with the provisions of the Convention.</w:t>
      </w:r>
    </w:p>
    <w:p w:rsidR="00000000" w:rsidDel="00000000" w:rsidP="00000000" w:rsidRDefault="00000000" w:rsidRPr="00000000" w14:paraId="00000023">
      <w:pPr>
        <w:spacing w:line="276" w:lineRule="auto"/>
        <w:ind w:firstLine="0"/>
        <w:rPr/>
      </w:pPr>
      <w:r w:rsidDel="00000000" w:rsidR="00000000" w:rsidRPr="00000000">
        <w:rPr>
          <w:i w:val="1"/>
          <w:rtl w:val="0"/>
        </w:rPr>
        <w:t xml:space="preserve">(2) </w:t>
      </w:r>
      <w:r w:rsidDel="00000000" w:rsidR="00000000" w:rsidRPr="00000000">
        <w:rPr>
          <w:rtl w:val="0"/>
        </w:rPr>
        <w:t xml:space="preserve">The limits of liability for claims under these Rules shall be as specified in, and calculated in accordance with, the </w:t>
      </w:r>
      <w:r w:rsidDel="00000000" w:rsidR="00000000" w:rsidRPr="00000000">
        <w:rPr>
          <w:i w:val="1"/>
          <w:rtl w:val="0"/>
        </w:rPr>
        <w:t xml:space="preserve">Schedule I</w:t>
      </w:r>
      <w:r w:rsidDel="00000000" w:rsidR="00000000" w:rsidRPr="00000000">
        <w:rPr>
          <w:rtl w:val="0"/>
        </w:rPr>
        <w:t xml:space="preserve"> hereto, which incorporates the limits prescribed in the Convention as amended by the 1996 Protocol and subsequent revisions applicable to India.</w:t>
      </w:r>
    </w:p>
    <w:p w:rsidR="00000000" w:rsidDel="00000000" w:rsidP="00000000" w:rsidRDefault="00000000" w:rsidRPr="00000000" w14:paraId="00000024">
      <w:pPr>
        <w:spacing w:line="276" w:lineRule="auto"/>
        <w:ind w:firstLine="0"/>
        <w:rPr/>
      </w:pPr>
      <w:r w:rsidDel="00000000" w:rsidR="00000000" w:rsidRPr="00000000">
        <w:rPr>
          <w:i w:val="1"/>
          <w:rtl w:val="0"/>
        </w:rPr>
        <w:t xml:space="preserve">(3)</w:t>
      </w:r>
      <w:r w:rsidDel="00000000" w:rsidR="00000000" w:rsidRPr="00000000">
        <w:rPr>
          <w:rtl w:val="0"/>
        </w:rPr>
        <w:t xml:space="preserve"> The limits of liability shall be applied in accordance with the procedures for constitution of limitation funds, under sections 168 and 169 of the Act, and conversion of units of account as provided under Rule 7 of these Rules.</w:t>
      </w:r>
    </w:p>
    <w:p w:rsidR="00000000" w:rsidDel="00000000" w:rsidP="00000000" w:rsidRDefault="00000000" w:rsidRPr="00000000" w14:paraId="00000025">
      <w:pPr>
        <w:spacing w:line="276" w:lineRule="auto"/>
        <w:ind w:firstLine="0"/>
        <w:rPr/>
      </w:pPr>
      <w:r w:rsidDel="00000000" w:rsidR="00000000" w:rsidRPr="00000000">
        <w:rPr>
          <w:i w:val="1"/>
          <w:rtl w:val="0"/>
        </w:rPr>
        <w:t xml:space="preserve">(4)</w:t>
      </w:r>
      <w:r w:rsidDel="00000000" w:rsidR="00000000" w:rsidRPr="00000000">
        <w:rPr>
          <w:rtl w:val="0"/>
        </w:rPr>
        <w:t xml:space="preserve"> The right of shipowners and other persons to limit their liability for maritime claims shall be determined in accordance with the provisions of the Convention as set out in the First Schedule to these rules, subject to the exceptions and interpretations contained herein.</w:t>
      </w:r>
    </w:p>
    <w:p w:rsidR="00000000" w:rsidDel="00000000" w:rsidP="00000000" w:rsidRDefault="00000000" w:rsidRPr="00000000" w14:paraId="00000026">
      <w:pPr>
        <w:spacing w:line="276" w:lineRule="auto"/>
        <w:ind w:firstLine="0"/>
        <w:rPr/>
      </w:pPr>
      <w:r w:rsidDel="00000000" w:rsidR="00000000" w:rsidRPr="00000000">
        <w:rPr>
          <w:i w:val="1"/>
          <w:rtl w:val="0"/>
        </w:rPr>
        <w:t xml:space="preserve">(5)</w:t>
      </w:r>
      <w:r w:rsidDel="00000000" w:rsidR="00000000" w:rsidRPr="00000000">
        <w:rPr>
          <w:rtl w:val="0"/>
        </w:rPr>
        <w:t xml:space="preserve"> Notwithstanding anything contained in these rules, in accordance with section 163 of the Act, a person shall not be entitled to limit his liability under section 162 if it is proved that the loss resulted from his personal act or omission, committed with intent to cause such loss, or committed recklessly and with knowledge that such loss would likely result.</w:t>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b w:val="1"/>
          <w:rtl w:val="0"/>
        </w:rPr>
        <w:t xml:space="preserve">6. Limitation of liability for ships </w:t>
      </w:r>
      <w:r w:rsidDel="00000000" w:rsidR="00000000" w:rsidRPr="00000000">
        <w:rPr>
          <w:b w:val="1"/>
          <w:highlight w:val="yellow"/>
          <w:rtl w:val="0"/>
        </w:rPr>
        <w:t xml:space="preserve">intended for navigation in or around the coast of India</w:t>
      </w:r>
      <w:r w:rsidDel="00000000" w:rsidR="00000000" w:rsidRPr="00000000">
        <w:rPr>
          <w:rtl w:val="0"/>
        </w:rPr>
        <w:t xml:space="preserve">.– </w:t>
      </w:r>
      <w:r w:rsidDel="00000000" w:rsidR="00000000" w:rsidRPr="00000000">
        <w:rPr>
          <w:i w:val="1"/>
          <w:rtl w:val="0"/>
        </w:rPr>
        <w:t xml:space="preserve">(1)</w:t>
      </w:r>
      <w:r w:rsidDel="00000000" w:rsidR="00000000" w:rsidRPr="00000000">
        <w:rPr>
          <w:rtl w:val="0"/>
        </w:rPr>
        <w:t xml:space="preserve"> Subject to the provisions of these Rules, the limits of liability for claims under section 162(1) of the Act arising on any distinct occasion shall be calculated as mentioned in </w:t>
      </w:r>
      <w:r w:rsidDel="00000000" w:rsidR="00000000" w:rsidRPr="00000000">
        <w:rPr>
          <w:i w:val="1"/>
          <w:rtl w:val="0"/>
        </w:rPr>
        <w:t xml:space="preserve">Schedule I</w:t>
      </w:r>
      <w:r w:rsidDel="00000000" w:rsidR="00000000" w:rsidRPr="00000000">
        <w:rPr>
          <w:rtl w:val="0"/>
        </w:rPr>
        <w:t xml:space="preserve"> of the Rules.</w:t>
      </w:r>
    </w:p>
    <w:p w:rsidR="00000000" w:rsidDel="00000000" w:rsidP="00000000" w:rsidRDefault="00000000" w:rsidRPr="00000000" w14:paraId="00000029">
      <w:pPr>
        <w:spacing w:line="276" w:lineRule="auto"/>
        <w:ind w:firstLine="0"/>
        <w:rPr>
          <w:sz w:val="16"/>
          <w:szCs w:val="16"/>
        </w:rPr>
      </w:pPr>
      <w:r w:rsidDel="00000000" w:rsidR="00000000" w:rsidRPr="00000000">
        <w:rPr>
          <w:i w:val="1"/>
          <w:rtl w:val="0"/>
        </w:rPr>
        <w:t xml:space="preserve">(2)</w:t>
      </w:r>
      <w:r w:rsidDel="00000000" w:rsidR="00000000" w:rsidRPr="00000000">
        <w:rPr>
          <w:rtl w:val="0"/>
        </w:rPr>
        <w:t xml:space="preserve"> For the purpose of sub-rules mentioned in </w:t>
      </w:r>
      <w:r w:rsidDel="00000000" w:rsidR="00000000" w:rsidRPr="00000000">
        <w:rPr>
          <w:i w:val="1"/>
          <w:rtl w:val="0"/>
        </w:rPr>
        <w:t xml:space="preserve">Schedule I</w:t>
      </w:r>
      <w:r w:rsidDel="00000000" w:rsidR="00000000" w:rsidRPr="00000000">
        <w:rPr>
          <w:rtl w:val="0"/>
        </w:rPr>
        <w:t xml:space="preserve">, the tonnage of a ship shall be the gross tonnage calculated in accordance with the tonnage measurement rules contained in Annexe 1 of the  International Convention on Tonnage Measurement of Ships, 1969.</w:t>
      </w:r>
      <w:r w:rsidDel="00000000" w:rsidR="00000000" w:rsidRPr="00000000">
        <w:rPr>
          <w:rtl w:val="0"/>
        </w:rPr>
      </w:r>
    </w:p>
    <w:p w:rsidR="00000000" w:rsidDel="00000000" w:rsidP="00000000" w:rsidRDefault="00000000" w:rsidRPr="00000000" w14:paraId="0000002A">
      <w:pPr>
        <w:spacing w:line="276" w:lineRule="auto"/>
        <w:ind w:firstLine="0"/>
        <w:rPr/>
      </w:pPr>
      <w:r w:rsidDel="00000000" w:rsidR="00000000" w:rsidRPr="00000000">
        <w:rPr>
          <w:i w:val="1"/>
          <w:rtl w:val="0"/>
        </w:rPr>
        <w:t xml:space="preserve">(3)</w:t>
      </w:r>
      <w:r w:rsidDel="00000000" w:rsidR="00000000" w:rsidRPr="00000000">
        <w:rPr>
          <w:rtl w:val="0"/>
        </w:rPr>
        <w:t xml:space="preserve"> In respect of claims arising on any distinct occasion for loss of life or personal injury to passengers of a ship, the limit of liability of the ship owner shall be as prescribed in </w:t>
      </w:r>
      <w:r w:rsidDel="00000000" w:rsidR="00000000" w:rsidRPr="00000000">
        <w:rPr>
          <w:i w:val="1"/>
          <w:rtl w:val="0"/>
        </w:rPr>
        <w:t xml:space="preserve">Schedule I</w:t>
      </w:r>
      <w:r w:rsidDel="00000000" w:rsidR="00000000" w:rsidRPr="00000000">
        <w:rPr>
          <w:rtl w:val="0"/>
        </w:rPr>
        <w:t xml:space="preserve">.</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b w:val="1"/>
          <w:rtl w:val="0"/>
        </w:rPr>
        <w:t xml:space="preserve">Explanation</w:t>
      </w:r>
      <w:r w:rsidDel="00000000" w:rsidR="00000000" w:rsidRPr="00000000">
        <w:rPr>
          <w:rtl w:val="0"/>
        </w:rPr>
        <w:t xml:space="preserve"> – (1) For the purpose of this rule, claims for personal injury mean claims resulting from serious physical or mental injury,  partially incapacitating, sustained by the seafarer in the course of or during employment on the ship as per the provision of the relevant Collective Bargaining  Agreement  [CBA] entered into between the ship owner and the seafarers’ associations.</w:t>
      </w:r>
    </w:p>
    <w:p w:rsidR="00000000" w:rsidDel="00000000" w:rsidP="00000000" w:rsidRDefault="00000000" w:rsidRPr="00000000" w14:paraId="0000002D">
      <w:pPr>
        <w:spacing w:line="276" w:lineRule="auto"/>
        <w:rPr/>
      </w:pPr>
      <w:r w:rsidDel="00000000" w:rsidR="00000000" w:rsidRPr="00000000">
        <w:rPr>
          <w:b w:val="1"/>
          <w:rtl w:val="0"/>
        </w:rPr>
        <w:t xml:space="preserve">Explanation</w:t>
      </w:r>
      <w:r w:rsidDel="00000000" w:rsidR="00000000" w:rsidRPr="00000000">
        <w:rPr>
          <w:rtl w:val="0"/>
        </w:rPr>
        <w:t xml:space="preserve"> – (2)  For the purpose of this rule, any other claims means claims resulted on account of property damage, consequential loss, pure economic loss,  environmental damage and legal expenses, including technical advice, sustained by the claimants in any maritime claim except claims in respect of personal injury.</w:t>
      </w:r>
    </w:p>
    <w:p w:rsidR="00000000" w:rsidDel="00000000" w:rsidP="00000000" w:rsidRDefault="00000000" w:rsidRPr="00000000" w14:paraId="0000002E">
      <w:pPr>
        <w:spacing w:line="276" w:lineRule="auto"/>
        <w:rPr/>
      </w:pPr>
      <w:r w:rsidDel="00000000" w:rsidR="00000000" w:rsidRPr="00000000">
        <w:rPr>
          <w:rtl w:val="0"/>
        </w:rPr>
      </w:r>
    </w:p>
    <w:p w:rsidR="00000000" w:rsidDel="00000000" w:rsidP="00000000" w:rsidRDefault="00000000" w:rsidRPr="00000000" w14:paraId="0000002F">
      <w:pPr>
        <w:spacing w:line="276" w:lineRule="auto"/>
        <w:rPr/>
      </w:pPr>
      <w:r w:rsidDel="00000000" w:rsidR="00000000" w:rsidRPr="00000000">
        <w:rPr>
          <w:b w:val="1"/>
          <w:rtl w:val="0"/>
        </w:rPr>
        <w:t xml:space="preserve">6. Amendment of the Rules and of the First Schedule.- </w:t>
      </w:r>
      <w:r w:rsidDel="00000000" w:rsidR="00000000" w:rsidRPr="00000000">
        <w:rPr>
          <w:i w:val="1"/>
          <w:rtl w:val="0"/>
        </w:rPr>
        <w:t xml:space="preserve">(1)</w:t>
      </w:r>
      <w:r w:rsidDel="00000000" w:rsidR="00000000" w:rsidRPr="00000000">
        <w:rPr>
          <w:rtl w:val="0"/>
        </w:rPr>
        <w:t xml:space="preserve"> If any difficulty arises in giving effect to the provisions of these Rules</w:t>
      </w:r>
      <w:r w:rsidDel="00000000" w:rsidR="00000000" w:rsidRPr="00000000">
        <w:rPr>
          <w:color w:val="000000"/>
          <w:rtl w:val="0"/>
        </w:rPr>
        <w:t xml:space="preserve">, the Director-General may, by way of a general or specific order,</w:t>
      </w:r>
      <w:r w:rsidDel="00000000" w:rsidR="00000000" w:rsidRPr="00000000">
        <w:rPr>
          <w:color w:val="ee0000"/>
          <w:rtl w:val="0"/>
        </w:rPr>
        <w:t xml:space="preserve"> </w:t>
      </w:r>
      <w:r w:rsidDel="00000000" w:rsidR="00000000" w:rsidRPr="00000000">
        <w:rPr>
          <w:rtl w:val="0"/>
        </w:rPr>
        <w:t xml:space="preserve">make such provisions not inconsistent with the provisions of the Act or the Convention, as appear necessary for removing the difficulty.</w:t>
      </w:r>
    </w:p>
    <w:p w:rsidR="00000000" w:rsidDel="00000000" w:rsidP="00000000" w:rsidRDefault="00000000" w:rsidRPr="00000000" w14:paraId="00000030">
      <w:pPr>
        <w:spacing w:line="276" w:lineRule="auto"/>
        <w:ind w:firstLine="0"/>
        <w:rPr/>
      </w:pPr>
      <w:r w:rsidDel="00000000" w:rsidR="00000000" w:rsidRPr="00000000">
        <w:rPr>
          <w:i w:val="1"/>
          <w:rtl w:val="0"/>
        </w:rPr>
        <w:t xml:space="preserve">(2)</w:t>
      </w:r>
      <w:r w:rsidDel="00000000" w:rsidR="00000000" w:rsidRPr="00000000">
        <w:rPr>
          <w:b w:val="1"/>
          <w:rtl w:val="0"/>
        </w:rPr>
        <w:t xml:space="preserve"> </w:t>
      </w:r>
      <w:r w:rsidDel="00000000" w:rsidR="00000000" w:rsidRPr="00000000">
        <w:rPr>
          <w:color w:val="000000"/>
          <w:rtl w:val="0"/>
        </w:rPr>
        <w:t xml:space="preserve">The Director-General may, by way of a general or specific order,</w:t>
      </w:r>
      <w:r w:rsidDel="00000000" w:rsidR="00000000" w:rsidRPr="00000000">
        <w:rPr>
          <w:color w:val="ee0000"/>
          <w:rtl w:val="0"/>
        </w:rPr>
        <w:t xml:space="preserve"> </w:t>
      </w:r>
      <w:r w:rsidDel="00000000" w:rsidR="00000000" w:rsidRPr="00000000">
        <w:rPr>
          <w:rtl w:val="0"/>
        </w:rPr>
        <w:t xml:space="preserve">amend the Rules, including the</w:t>
      </w:r>
      <w:r w:rsidDel="00000000" w:rsidR="00000000" w:rsidRPr="00000000">
        <w:rPr>
          <w:i w:val="1"/>
          <w:rtl w:val="0"/>
        </w:rPr>
        <w:t xml:space="preserve"> </w:t>
      </w:r>
      <w:r w:rsidDel="00000000" w:rsidR="00000000" w:rsidRPr="00000000">
        <w:rPr>
          <w:rtl w:val="0"/>
        </w:rPr>
        <w:t xml:space="preserve">Schedule therein, in accordance with any revision to the Convention or to any Protocol to the Convention to which India is signatory. </w:t>
      </w:r>
    </w:p>
    <w:p w:rsidR="00000000" w:rsidDel="00000000" w:rsidP="00000000" w:rsidRDefault="00000000" w:rsidRPr="00000000" w14:paraId="00000031">
      <w:pPr>
        <w:spacing w:line="276" w:lineRule="auto"/>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b w:val="1"/>
          <w:rtl w:val="0"/>
        </w:rPr>
        <w:t xml:space="preserve">7. Unit of accounts. </w:t>
      </w:r>
      <w:r w:rsidDel="00000000" w:rsidR="00000000" w:rsidRPr="00000000">
        <w:rPr>
          <w:rtl w:val="0"/>
        </w:rPr>
        <w:t xml:space="preserve">- </w:t>
      </w:r>
      <w:r w:rsidDel="00000000" w:rsidR="00000000" w:rsidRPr="00000000">
        <w:rPr>
          <w:i w:val="1"/>
          <w:rtl w:val="0"/>
        </w:rPr>
        <w:t xml:space="preserve">(1)</w:t>
      </w:r>
      <w:r w:rsidDel="00000000" w:rsidR="00000000" w:rsidRPr="00000000">
        <w:rPr>
          <w:rtl w:val="0"/>
        </w:rPr>
        <w:t xml:space="preserve"> The unit of account referred to in Rule 3 and Rule 4 is the Special Drawing Rights as defined in Rule 3(e) of these Rules. </w:t>
      </w:r>
    </w:p>
    <w:p w:rsidR="00000000" w:rsidDel="00000000" w:rsidP="00000000" w:rsidRDefault="00000000" w:rsidRPr="00000000" w14:paraId="00000033">
      <w:pPr>
        <w:spacing w:line="276" w:lineRule="auto"/>
        <w:ind w:firstLine="0"/>
        <w:rPr/>
      </w:pPr>
      <w:r w:rsidDel="00000000" w:rsidR="00000000" w:rsidRPr="00000000">
        <w:rPr>
          <w:i w:val="1"/>
          <w:rtl w:val="0"/>
        </w:rPr>
        <w:t xml:space="preserve">(2)</w:t>
      </w:r>
      <w:r w:rsidDel="00000000" w:rsidR="00000000" w:rsidRPr="00000000">
        <w:rPr>
          <w:rtl w:val="0"/>
        </w:rPr>
        <w:t xml:space="preserve"> The amount calculated under Rule 3 and Rule 4 shall be converted into Indian rupees according to the value of the rupee at the date the Fund is constituted or a deposit is made or a guarantee is given under section 168 and section 169 of the Act.</w:t>
      </w:r>
    </w:p>
    <w:p w:rsidR="00000000" w:rsidDel="00000000" w:rsidP="00000000" w:rsidRDefault="00000000" w:rsidRPr="00000000" w14:paraId="00000034">
      <w:pPr>
        <w:spacing w:line="276" w:lineRule="auto"/>
        <w:rPr/>
      </w:pPr>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rtl w:val="0"/>
        </w:rPr>
      </w:r>
    </w:p>
    <w:p w:rsidR="00000000" w:rsidDel="00000000" w:rsidP="00000000" w:rsidRDefault="00000000" w:rsidRPr="00000000" w14:paraId="00000036">
      <w:pPr>
        <w:spacing w:line="276" w:lineRule="auto"/>
        <w:rPr/>
      </w:pPr>
      <w:r w:rsidDel="00000000" w:rsidR="00000000" w:rsidRPr="00000000">
        <w:rPr>
          <w:rtl w:val="0"/>
        </w:rPr>
      </w:r>
    </w:p>
    <w:p w:rsidR="00000000" w:rsidDel="00000000" w:rsidP="00000000" w:rsidRDefault="00000000" w:rsidRPr="00000000" w14:paraId="00000037">
      <w:pPr>
        <w:spacing w:line="276" w:lineRule="auto"/>
        <w:rPr/>
      </w:pPr>
      <w:r w:rsidDel="00000000" w:rsidR="00000000" w:rsidRPr="00000000">
        <w:rPr>
          <w:rtl w:val="0"/>
        </w:rPr>
        <w:t xml:space="preserve">[F. No. ________________]</w:t>
      </w:r>
    </w:p>
    <w:p w:rsidR="00000000" w:rsidDel="00000000" w:rsidP="00000000" w:rsidRDefault="00000000" w:rsidRPr="00000000" w14:paraId="00000038">
      <w:pPr>
        <w:spacing w:line="276" w:lineRule="auto"/>
        <w:rPr/>
      </w:pPr>
      <w:r w:rsidDel="00000000" w:rsidR="00000000" w:rsidRPr="00000000">
        <w:rPr>
          <w:rtl w:val="0"/>
        </w:rPr>
      </w:r>
    </w:p>
    <w:p w:rsidR="00000000" w:rsidDel="00000000" w:rsidP="00000000" w:rsidRDefault="00000000" w:rsidRPr="00000000" w14:paraId="00000039">
      <w:pPr>
        <w:spacing w:line="276" w:lineRule="auto"/>
        <w:rPr/>
      </w:pPr>
      <w:r w:rsidDel="00000000" w:rsidR="00000000" w:rsidRPr="00000000">
        <w:rPr>
          <w:rtl w:val="0"/>
        </w:rPr>
        <w:t xml:space="preserve">Sign</w:t>
      </w:r>
    </w:p>
    <w:p w:rsidR="00000000" w:rsidDel="00000000" w:rsidP="00000000" w:rsidRDefault="00000000" w:rsidRPr="00000000" w14:paraId="0000003A">
      <w:pPr>
        <w:spacing w:line="276" w:lineRule="auto"/>
        <w:rPr/>
      </w:pPr>
      <w:r w:rsidDel="00000000" w:rsidR="00000000" w:rsidRPr="00000000">
        <w:rPr>
          <w:rtl w:val="0"/>
        </w:rPr>
      </w:r>
    </w:p>
    <w:p w:rsidR="00000000" w:rsidDel="00000000" w:rsidP="00000000" w:rsidRDefault="00000000" w:rsidRPr="00000000" w14:paraId="0000003B">
      <w:pPr>
        <w:spacing w:line="276" w:lineRule="auto"/>
        <w:rPr/>
      </w:pPr>
      <w:r w:rsidDel="00000000" w:rsidR="00000000" w:rsidRPr="00000000">
        <w:rPr>
          <w:rtl w:val="0"/>
        </w:rPr>
      </w:r>
    </w:p>
    <w:p w:rsidR="00000000" w:rsidDel="00000000" w:rsidP="00000000" w:rsidRDefault="00000000" w:rsidRPr="00000000" w14:paraId="0000003C">
      <w:pPr>
        <w:spacing w:line="276" w:lineRule="auto"/>
        <w:rPr>
          <w:sz w:val="20"/>
          <w:szCs w:val="20"/>
        </w:rPr>
      </w:pPr>
      <w:r w:rsidDel="00000000" w:rsidR="00000000" w:rsidRPr="00000000">
        <w:rPr>
          <w:sz w:val="20"/>
          <w:szCs w:val="20"/>
          <w:rtl w:val="0"/>
        </w:rPr>
        <w:t xml:space="preserve">Printed by _____________________________________________________________</w:t>
      </w:r>
    </w:p>
    <w:p w:rsidR="00000000" w:rsidDel="00000000" w:rsidP="00000000" w:rsidRDefault="00000000" w:rsidRPr="00000000" w14:paraId="0000003D">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3E">
      <w:pPr>
        <w:jc w:val="center"/>
        <w:rPr>
          <w:b w:val="1"/>
        </w:rPr>
      </w:pPr>
      <w:r w:rsidDel="00000000" w:rsidR="00000000" w:rsidRPr="00000000">
        <w:rPr>
          <w:b w:val="1"/>
          <w:rtl w:val="0"/>
        </w:rPr>
        <w:t xml:space="preserve">Schedule I</w:t>
      </w:r>
    </w:p>
    <w:p w:rsidR="00000000" w:rsidDel="00000000" w:rsidP="00000000" w:rsidRDefault="00000000" w:rsidRPr="00000000" w14:paraId="0000003F">
      <w:pPr>
        <w:jc w:val="center"/>
        <w:rPr>
          <w:i w:val="1"/>
        </w:rPr>
      </w:pPr>
      <w:r w:rsidDel="00000000" w:rsidR="00000000" w:rsidRPr="00000000">
        <w:rPr>
          <w:i w:val="1"/>
          <w:rtl w:val="0"/>
        </w:rPr>
        <w:t xml:space="preserve">(See Rule 5 and Convention on Limitation of Liability for Maritime Claims, 1976, as amended by the Protocol of 1996 and subsequent revisions applicable to India)</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b w:val="1"/>
          <w:rtl w:val="0"/>
        </w:rPr>
        <w:t xml:space="preserve">1. Limitation of Liability for Maritime Claims. – </w:t>
      </w:r>
      <w:r w:rsidDel="00000000" w:rsidR="00000000" w:rsidRPr="00000000">
        <w:rPr>
          <w:i w:val="1"/>
          <w:rtl w:val="0"/>
        </w:rPr>
        <w:t xml:space="preserve">(1)</w:t>
      </w:r>
      <w:r w:rsidDel="00000000" w:rsidR="00000000" w:rsidRPr="00000000">
        <w:rPr>
          <w:b w:val="1"/>
          <w:rtl w:val="0"/>
        </w:rPr>
        <w:t xml:space="preserve"> </w:t>
      </w:r>
      <w:r w:rsidDel="00000000" w:rsidR="00000000" w:rsidRPr="00000000">
        <w:rPr>
          <w:rtl w:val="0"/>
        </w:rPr>
        <w:t xml:space="preserve">Subject to the provision of these Rules, the limits of liability for maritime claims as mentioned in section 162(1), arising on any distinct occasion, shall be calculated as follows:</w:t>
      </w:r>
    </w:p>
    <w:p w:rsidR="00000000" w:rsidDel="00000000" w:rsidP="00000000" w:rsidRDefault="00000000" w:rsidRPr="00000000" w14:paraId="00000042">
      <w:pPr>
        <w:rPr/>
      </w:pPr>
      <w:sdt>
        <w:sdtPr>
          <w:id w:val="-1666045432"/>
          <w:tag w:val="goog_rdk_2"/>
        </w:sdtPr>
        <w:sdtContent>
          <w:commentRangeStart w:id="2"/>
        </w:sdtContent>
      </w:sdt>
      <w:r w:rsidDel="00000000" w:rsidR="00000000" w:rsidRPr="00000000">
        <w:rPr>
          <w:rtl w:val="0"/>
        </w:rPr>
        <w:t xml:space="preserve">(a) In respect of claims for loss of life or personal injury</w:t>
      </w:r>
    </w:p>
    <w:p w:rsidR="00000000" w:rsidDel="00000000" w:rsidP="00000000" w:rsidRDefault="00000000" w:rsidRPr="00000000" w14:paraId="00000043">
      <w:pPr>
        <w:ind w:left="720" w:firstLine="556"/>
        <w:rPr/>
      </w:pPr>
      <w:r w:rsidDel="00000000" w:rsidR="00000000" w:rsidRPr="00000000">
        <w:rPr>
          <w:rtl w:val="0"/>
        </w:rPr>
        <w:t xml:space="preserve">(i) 333,000 Units of Account for a ship with a tonnage not exceeding 500 tons;</w:t>
      </w:r>
    </w:p>
    <w:p w:rsidR="00000000" w:rsidDel="00000000" w:rsidP="00000000" w:rsidRDefault="00000000" w:rsidRPr="00000000" w14:paraId="00000044">
      <w:pPr>
        <w:ind w:left="720" w:firstLine="556"/>
        <w:rPr/>
      </w:pPr>
      <w:r w:rsidDel="00000000" w:rsidR="00000000" w:rsidRPr="00000000">
        <w:rPr>
          <w:rtl w:val="0"/>
        </w:rPr>
        <w:t xml:space="preserve">(ii) For a ship with a tonnage in excess of 500 tons, the following amount in addition to that mentioned in sub-paragraph (i):</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each ton from 501 to 3,000 tons, </w:t>
      </w:r>
      <w:r w:rsidDel="00000000" w:rsidR="00000000" w:rsidRPr="00000000">
        <w:rPr>
          <w:rtl w:val="0"/>
        </w:rPr>
        <w:t xml:space="preserve">1208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Units of Account;</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each ton from 3,001 to 30,000 tons, 333 Units of Account;</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each ton from 30,001 to 70,000 tons, 250 Units of Account; and</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each ton in excess of 70,000 tons, 167 Units of Account.</w:t>
      </w:r>
    </w:p>
    <w:p w:rsidR="00000000" w:rsidDel="00000000" w:rsidP="00000000" w:rsidRDefault="00000000" w:rsidRPr="00000000" w14:paraId="00000049">
      <w:pPr>
        <w:rPr/>
      </w:pPr>
      <w:r w:rsidDel="00000000" w:rsidR="00000000" w:rsidRPr="00000000">
        <w:rPr>
          <w:rtl w:val="0"/>
        </w:rPr>
        <w:t xml:space="preserve">(b) In respect of any other claims</w:t>
      </w:r>
    </w:p>
    <w:p w:rsidR="00000000" w:rsidDel="00000000" w:rsidP="00000000" w:rsidRDefault="00000000" w:rsidRPr="00000000" w14:paraId="0000004A">
      <w:pPr>
        <w:ind w:left="720" w:firstLine="556"/>
        <w:rPr/>
      </w:pPr>
      <w:r w:rsidDel="00000000" w:rsidR="00000000" w:rsidRPr="00000000">
        <w:rPr>
          <w:rtl w:val="0"/>
        </w:rPr>
        <w:t xml:space="preserve">(i) 167,000 Units of Account for a ship with a tonnage not exceeding 500 tons;</w:t>
      </w:r>
    </w:p>
    <w:p w:rsidR="00000000" w:rsidDel="00000000" w:rsidP="00000000" w:rsidRDefault="00000000" w:rsidRPr="00000000" w14:paraId="0000004B">
      <w:pPr>
        <w:ind w:left="720" w:firstLine="556"/>
        <w:rPr/>
      </w:pPr>
      <w:r w:rsidDel="00000000" w:rsidR="00000000" w:rsidRPr="00000000">
        <w:rPr>
          <w:rtl w:val="0"/>
        </w:rPr>
        <w:t xml:space="preserve">(ii) For a ship with a tonnage in excess of 500 tons, the following amount in addition to that mentioned in sub-paragraph (i):</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21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each ton from 501 to 30,000 tons, 167 Units of Account;</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21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each ton from 30,001 to 70,000 tons, 125 Units of Account; and</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21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each ton in excess of 70,000 tons, 83 Units of Account.</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Where the amount calculated in accordance with paragraph 1(a) is insufficient to pay the claims mentioned therein in full, the amount calculated in accordance with paragraph 1(b) shall be available for payment of the unpaid balance of claims under paragraph 1(a), and such unpaid balance shall rank rateably with the claims mentioned under paragraph 1(b).</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limit of liability for any salvor not operating from any ship or for any salvor operating solely on the ship to, or in respect of which he is rendering salvage services,  shall be calculated according to a tonnage of one thousand and five hundred tons.</w:t>
      </w:r>
      <w:r w:rsidDel="00000000" w:rsidR="00000000" w:rsidRPr="00000000">
        <w:rPr>
          <w:rtl w:val="0"/>
        </w:rPr>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Limits of Liability for Claims for Loss of Life or Personal Injury to Passengers.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Subject to the provisions of these Rules, the limits of liability for claims arising on any distinct occasion in respect of loss of life or personal injury to passengers, as mentioned in section 166 of the Act, shall be calculated as follows: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318601937"/>
          <w:tag w:val="goog_rdk_3"/>
        </w:sdtPr>
        <w:sdtContent>
          <w:commentRangeStart w:id="3"/>
        </w:sdtContent>
      </w:sdt>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175,000 Units of Account per passenger;</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number of passengers shall be taken as the maximum number the ship is authorized to carry according to the passenger certificate issued for the ship.</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55">
      <w:pPr>
        <w:ind w:firstLine="0"/>
        <w:rPr/>
      </w:pPr>
      <w:r w:rsidDel="00000000" w:rsidR="00000000" w:rsidRPr="00000000">
        <w:rPr>
          <w:i w:val="1"/>
          <w:rtl w:val="0"/>
        </w:rPr>
        <w:t xml:space="preserve">(2) </w:t>
      </w:r>
      <w:r w:rsidDel="00000000" w:rsidR="00000000" w:rsidRPr="00000000">
        <w:rPr>
          <w:rtl w:val="0"/>
        </w:rPr>
        <w:t xml:space="preserve">Where the total claims for loss of life or personal injury to passengers exceed the amount calculated in paragraph 1(i), the limit shall be apportioned among the claimants rateably.</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jc w:val="center"/>
        <w:rPr/>
      </w:pPr>
      <w:r w:rsidDel="00000000" w:rsidR="00000000" w:rsidRPr="00000000">
        <w:rPr>
          <w:rtl w:val="0"/>
        </w:rPr>
        <w:t xml:space="preserve">*************</w:t>
      </w:r>
    </w:p>
    <w:p w:rsidR="00000000" w:rsidDel="00000000" w:rsidP="00000000" w:rsidRDefault="00000000" w:rsidRPr="00000000" w14:paraId="0000005A">
      <w:pPr>
        <w:rPr/>
      </w:pPr>
      <w:r w:rsidDel="00000000" w:rsidR="00000000" w:rsidRPr="00000000">
        <w:rPr>
          <w:rtl w:val="0"/>
        </w:rPr>
      </w:r>
    </w:p>
    <w:sectPr>
      <w:footerReference r:id="rId9" w:type="default"/>
      <w:pgSz w:h="15840" w:w="12240" w:orient="portrait"/>
      <w:pgMar w:bottom="993" w:top="1260" w:left="1170" w:right="126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Yukta Matlapurkar" w:id="3" w:date="2025-10-22T21:34:30Z">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revised</w:t>
      </w:r>
    </w:p>
  </w:comment>
  <w:comment w:author="Yukta Matlapurkar" w:id="2" w:date="2025-10-21T11:50:26Z">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Limits to be revised.</w:t>
      </w:r>
    </w:p>
  </w:comment>
  <w:comment w:author="Nautical Wing" w:id="1" w:date="2025-10-21T11:07:53Z">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CLC pg 65</w:t>
      </w:r>
    </w:p>
  </w:comment>
  <w:comment w:author="Nautical Wing" w:id="0" w:date="2025-10-21T11:07:53Z">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Added from convention</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5C" w15:done="0"/>
  <w15:commentEx w15:paraId="0000005D" w15:done="0"/>
  <w15:commentEx w15:paraId="0000005E" w15:done="0"/>
  <w15:commentEx w15:paraId="0000005F"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36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Page </w:t>
    </w:r>
    <w:r w:rsidDel="00000000" w:rsidR="00000000" w:rsidRPr="00000000">
      <w:rPr>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2160" w:hanging="360"/>
      </w:pPr>
      <w:rPr>
        <w:i w:val="1"/>
        <w:sz w:val="24"/>
        <w:szCs w:val="24"/>
      </w:rPr>
    </w:lvl>
    <w:lvl w:ilvl="1">
      <w:start w:val="1"/>
      <w:numFmt w:val="bullet"/>
      <w:lvlText w:val="o"/>
      <w:lvlJc w:val="left"/>
      <w:pPr>
        <w:ind w:left="2880" w:hanging="360"/>
      </w:pPr>
      <w:rPr>
        <w:rFonts w:ascii="Courier New" w:cs="Courier New" w:eastAsia="Courier New" w:hAnsi="Courier New"/>
        <w:sz w:val="20"/>
        <w:szCs w:val="20"/>
      </w:rPr>
    </w:lvl>
    <w:lvl w:ilvl="2">
      <w:start w:val="1"/>
      <w:numFmt w:val="bullet"/>
      <w:lvlText w:val="▪"/>
      <w:lvlJc w:val="left"/>
      <w:pPr>
        <w:ind w:left="3600" w:hanging="360"/>
      </w:pPr>
      <w:rPr>
        <w:rFonts w:ascii="Noto Sans Symbols" w:cs="Noto Sans Symbols" w:eastAsia="Noto Sans Symbols" w:hAnsi="Noto Sans Symbols"/>
        <w:sz w:val="20"/>
        <w:szCs w:val="20"/>
      </w:rPr>
    </w:lvl>
    <w:lvl w:ilvl="3">
      <w:start w:val="1"/>
      <w:numFmt w:val="bullet"/>
      <w:lvlText w:val="▪"/>
      <w:lvlJc w:val="left"/>
      <w:pPr>
        <w:ind w:left="4320" w:hanging="360"/>
      </w:pPr>
      <w:rPr>
        <w:rFonts w:ascii="Noto Sans Symbols" w:cs="Noto Sans Symbols" w:eastAsia="Noto Sans Symbols" w:hAnsi="Noto Sans Symbols"/>
        <w:sz w:val="20"/>
        <w:szCs w:val="20"/>
      </w:rPr>
    </w:lvl>
    <w:lvl w:ilvl="4">
      <w:start w:val="1"/>
      <w:numFmt w:val="bullet"/>
      <w:lvlText w:val="▪"/>
      <w:lvlJc w:val="left"/>
      <w:pPr>
        <w:ind w:left="5040" w:hanging="360"/>
      </w:pPr>
      <w:rPr>
        <w:rFonts w:ascii="Noto Sans Symbols" w:cs="Noto Sans Symbols" w:eastAsia="Noto Sans Symbols" w:hAnsi="Noto Sans Symbols"/>
        <w:sz w:val="20"/>
        <w:szCs w:val="20"/>
      </w:rPr>
    </w:lvl>
    <w:lvl w:ilvl="5">
      <w:start w:val="1"/>
      <w:numFmt w:val="bullet"/>
      <w:lvlText w:val="▪"/>
      <w:lvlJc w:val="left"/>
      <w:pPr>
        <w:ind w:left="5760" w:hanging="360"/>
      </w:pPr>
      <w:rPr>
        <w:rFonts w:ascii="Noto Sans Symbols" w:cs="Noto Sans Symbols" w:eastAsia="Noto Sans Symbols" w:hAnsi="Noto Sans Symbols"/>
        <w:sz w:val="20"/>
        <w:szCs w:val="20"/>
      </w:rPr>
    </w:lvl>
    <w:lvl w:ilvl="6">
      <w:start w:val="1"/>
      <w:numFmt w:val="bullet"/>
      <w:lvlText w:val="▪"/>
      <w:lvlJc w:val="left"/>
      <w:pPr>
        <w:ind w:left="6480" w:hanging="360"/>
      </w:pPr>
      <w:rPr>
        <w:rFonts w:ascii="Noto Sans Symbols" w:cs="Noto Sans Symbols" w:eastAsia="Noto Sans Symbols" w:hAnsi="Noto Sans Symbols"/>
        <w:sz w:val="20"/>
        <w:szCs w:val="20"/>
      </w:rPr>
    </w:lvl>
    <w:lvl w:ilvl="7">
      <w:start w:val="1"/>
      <w:numFmt w:val="bullet"/>
      <w:lvlText w:val="▪"/>
      <w:lvlJc w:val="left"/>
      <w:pPr>
        <w:ind w:left="7200" w:hanging="360"/>
      </w:pPr>
      <w:rPr>
        <w:rFonts w:ascii="Noto Sans Symbols" w:cs="Noto Sans Symbols" w:eastAsia="Noto Sans Symbols" w:hAnsi="Noto Sans Symbols"/>
        <w:sz w:val="20"/>
        <w:szCs w:val="20"/>
      </w:rPr>
    </w:lvl>
    <w:lvl w:ilvl="8">
      <w:start w:val="1"/>
      <w:numFmt w:val="bullet"/>
      <w:lvlText w:val="▪"/>
      <w:lvlJc w:val="left"/>
      <w:pPr>
        <w:ind w:left="7920" w:hanging="360"/>
      </w:pPr>
      <w:rPr>
        <w:rFonts w:ascii="Noto Sans Symbols" w:cs="Noto Sans Symbols" w:eastAsia="Noto Sans Symbols" w:hAnsi="Noto Sans Symbols"/>
        <w:sz w:val="20"/>
        <w:szCs w:val="20"/>
      </w:rPr>
    </w:lvl>
  </w:abstractNum>
  <w:abstractNum w:abstractNumId="2">
    <w:lvl w:ilvl="0">
      <w:start w:val="1"/>
      <w:numFmt w:val="upperLetter"/>
      <w:lvlText w:val="(%1)"/>
      <w:lvlJc w:val="left"/>
      <w:pPr>
        <w:ind w:left="2160" w:hanging="360"/>
      </w:pPr>
      <w:rPr>
        <w:i w:val="1"/>
        <w:sz w:val="24"/>
        <w:szCs w:val="24"/>
      </w:rPr>
    </w:lvl>
    <w:lvl w:ilvl="1">
      <w:start w:val="1"/>
      <w:numFmt w:val="bullet"/>
      <w:lvlText w:val="o"/>
      <w:lvlJc w:val="left"/>
      <w:pPr>
        <w:ind w:left="2880" w:hanging="360"/>
      </w:pPr>
      <w:rPr>
        <w:rFonts w:ascii="Courier New" w:cs="Courier New" w:eastAsia="Courier New" w:hAnsi="Courier New"/>
        <w:sz w:val="20"/>
        <w:szCs w:val="20"/>
      </w:rPr>
    </w:lvl>
    <w:lvl w:ilvl="2">
      <w:start w:val="1"/>
      <w:numFmt w:val="bullet"/>
      <w:lvlText w:val="▪"/>
      <w:lvlJc w:val="left"/>
      <w:pPr>
        <w:ind w:left="3600" w:hanging="360"/>
      </w:pPr>
      <w:rPr>
        <w:rFonts w:ascii="Noto Sans Symbols" w:cs="Noto Sans Symbols" w:eastAsia="Noto Sans Symbols" w:hAnsi="Noto Sans Symbols"/>
        <w:sz w:val="20"/>
        <w:szCs w:val="20"/>
      </w:rPr>
    </w:lvl>
    <w:lvl w:ilvl="3">
      <w:start w:val="1"/>
      <w:numFmt w:val="bullet"/>
      <w:lvlText w:val="▪"/>
      <w:lvlJc w:val="left"/>
      <w:pPr>
        <w:ind w:left="4320" w:hanging="360"/>
      </w:pPr>
      <w:rPr>
        <w:rFonts w:ascii="Noto Sans Symbols" w:cs="Noto Sans Symbols" w:eastAsia="Noto Sans Symbols" w:hAnsi="Noto Sans Symbols"/>
        <w:sz w:val="20"/>
        <w:szCs w:val="20"/>
      </w:rPr>
    </w:lvl>
    <w:lvl w:ilvl="4">
      <w:start w:val="1"/>
      <w:numFmt w:val="bullet"/>
      <w:lvlText w:val="▪"/>
      <w:lvlJc w:val="left"/>
      <w:pPr>
        <w:ind w:left="5040" w:hanging="360"/>
      </w:pPr>
      <w:rPr>
        <w:rFonts w:ascii="Noto Sans Symbols" w:cs="Noto Sans Symbols" w:eastAsia="Noto Sans Symbols" w:hAnsi="Noto Sans Symbols"/>
        <w:sz w:val="20"/>
        <w:szCs w:val="20"/>
      </w:rPr>
    </w:lvl>
    <w:lvl w:ilvl="5">
      <w:start w:val="1"/>
      <w:numFmt w:val="bullet"/>
      <w:lvlText w:val="▪"/>
      <w:lvlJc w:val="left"/>
      <w:pPr>
        <w:ind w:left="5760" w:hanging="360"/>
      </w:pPr>
      <w:rPr>
        <w:rFonts w:ascii="Noto Sans Symbols" w:cs="Noto Sans Symbols" w:eastAsia="Noto Sans Symbols" w:hAnsi="Noto Sans Symbols"/>
        <w:sz w:val="20"/>
        <w:szCs w:val="20"/>
      </w:rPr>
    </w:lvl>
    <w:lvl w:ilvl="6">
      <w:start w:val="1"/>
      <w:numFmt w:val="bullet"/>
      <w:lvlText w:val="▪"/>
      <w:lvlJc w:val="left"/>
      <w:pPr>
        <w:ind w:left="6480" w:hanging="360"/>
      </w:pPr>
      <w:rPr>
        <w:rFonts w:ascii="Noto Sans Symbols" w:cs="Noto Sans Symbols" w:eastAsia="Noto Sans Symbols" w:hAnsi="Noto Sans Symbols"/>
        <w:sz w:val="20"/>
        <w:szCs w:val="20"/>
      </w:rPr>
    </w:lvl>
    <w:lvl w:ilvl="7">
      <w:start w:val="1"/>
      <w:numFmt w:val="bullet"/>
      <w:lvlText w:val="▪"/>
      <w:lvlJc w:val="left"/>
      <w:pPr>
        <w:ind w:left="7200" w:hanging="360"/>
      </w:pPr>
      <w:rPr>
        <w:rFonts w:ascii="Noto Sans Symbols" w:cs="Noto Sans Symbols" w:eastAsia="Noto Sans Symbols" w:hAnsi="Noto Sans Symbols"/>
        <w:sz w:val="20"/>
        <w:szCs w:val="20"/>
      </w:rPr>
    </w:lvl>
    <w:lvl w:ilvl="8">
      <w:start w:val="1"/>
      <w:numFmt w:val="bullet"/>
      <w:lvlText w:val="▪"/>
      <w:lvlJc w:val="left"/>
      <w:pPr>
        <w:ind w:left="7920" w:hanging="360"/>
      </w:pPr>
      <w:rPr>
        <w:rFonts w:ascii="Noto Sans Symbols" w:cs="Noto Sans Symbols" w:eastAsia="Noto Sans Symbols" w:hAnsi="Noto Sans Symbols"/>
        <w:sz w:val="20"/>
        <w:szCs w:val="20"/>
      </w:rPr>
    </w:lvl>
  </w:abstractNum>
  <w:abstractNum w:abstractNumId="3">
    <w:lvl w:ilvl="0">
      <w:start w:val="1"/>
      <w:numFmt w:val="lowerLetter"/>
      <w:lvlText w:val="%1."/>
      <w:lvlJc w:val="left"/>
      <w:pPr>
        <w:ind w:left="720" w:hanging="720"/>
      </w:pPr>
      <w:rPr>
        <w:i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IN"/>
      </w:rPr>
    </w:rPrDefault>
    <w:pPrDefault>
      <w:pPr>
        <w:spacing w:line="360" w:lineRule="auto"/>
        <w:ind w:firstLine="72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720"/>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ind w:left="1440" w:hanging="720"/>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ind w:left="2160" w:hanging="720"/>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ind w:left="2880" w:hanging="720"/>
    </w:pPr>
    <w:rPr>
      <w:rFonts w:ascii="Calibri" w:cs="Calibri" w:eastAsia="Calibri" w:hAnsi="Calibri"/>
      <w:b w:val="1"/>
      <w:sz w:val="28"/>
      <w:szCs w:val="28"/>
    </w:rPr>
  </w:style>
  <w:style w:type="paragraph" w:styleId="Heading5">
    <w:name w:val="heading 5"/>
    <w:basedOn w:val="Normal"/>
    <w:next w:val="Normal"/>
    <w:pPr>
      <w:spacing w:after="60" w:before="240" w:lineRule="auto"/>
      <w:ind w:left="3600" w:hanging="720"/>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4320" w:hanging="720"/>
    </w:pPr>
    <w:rPr>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Heading7">
    <w:name w:val="heading 7"/>
    <w:basedOn w:val="Normal"/>
    <w:next w:val="Normal"/>
    <w:link w:val="Heading7Char"/>
    <w:uiPriority w:val="9"/>
    <w:semiHidden w:val="1"/>
    <w:unhideWhenUsed w:val="1"/>
    <w:qFormat w:val="1"/>
    <w:rsid w:val="00C94330"/>
    <w:pPr>
      <w:tabs>
        <w:tab w:val="num" w:pos="5040"/>
      </w:tabs>
      <w:spacing w:after="60" w:before="240"/>
      <w:ind w:left="5040" w:hanging="720"/>
      <w:outlineLvl w:val="6"/>
    </w:pPr>
    <w:rPr>
      <w:rFonts w:asciiTheme="minorHAnsi" w:cstheme="minorBidi" w:eastAsiaTheme="minorEastAsia" w:hAnsiTheme="minorHAnsi"/>
    </w:rPr>
  </w:style>
  <w:style w:type="paragraph" w:styleId="Heading8">
    <w:name w:val="heading 8"/>
    <w:basedOn w:val="Normal"/>
    <w:next w:val="Normal"/>
    <w:link w:val="Heading8Char"/>
    <w:uiPriority w:val="9"/>
    <w:semiHidden w:val="1"/>
    <w:unhideWhenUsed w:val="1"/>
    <w:qFormat w:val="1"/>
    <w:rsid w:val="00C94330"/>
    <w:pPr>
      <w:tabs>
        <w:tab w:val="num" w:pos="5760"/>
      </w:tabs>
      <w:spacing w:after="60" w:before="240"/>
      <w:ind w:left="5760" w:hanging="720"/>
      <w:outlineLvl w:val="7"/>
    </w:pPr>
    <w:rPr>
      <w:rFonts w:asciiTheme="minorHAnsi" w:cstheme="minorBidi" w:eastAsiaTheme="minorEastAsia" w:hAnsiTheme="minorHAnsi"/>
      <w:i w:val="1"/>
      <w:iCs w:val="1"/>
    </w:rPr>
  </w:style>
  <w:style w:type="paragraph" w:styleId="Heading9">
    <w:name w:val="heading 9"/>
    <w:basedOn w:val="Normal"/>
    <w:next w:val="Normal"/>
    <w:link w:val="Heading9Char"/>
    <w:uiPriority w:val="9"/>
    <w:semiHidden w:val="1"/>
    <w:unhideWhenUsed w:val="1"/>
    <w:qFormat w:val="1"/>
    <w:rsid w:val="00C94330"/>
    <w:pPr>
      <w:tabs>
        <w:tab w:val="num" w:pos="6480"/>
      </w:tabs>
      <w:spacing w:after="60" w:before="240"/>
      <w:ind w:left="6480" w:hanging="720"/>
      <w:outlineLvl w:val="8"/>
    </w:pPr>
    <w:rPr>
      <w:rFonts w:asciiTheme="majorHAnsi" w:cstheme="majorBidi" w:eastAsiaTheme="majorEastAsia" w:hAnsiTheme="majorHAnsi"/>
      <w:sz w:val="22"/>
      <w:szCs w:val="2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94330"/>
    <w:rPr>
      <w:rFonts w:asciiTheme="majorHAnsi" w:cstheme="majorBidi" w:eastAsiaTheme="majorEastAsia" w:hAnsiTheme="majorHAnsi"/>
      <w:b w:val="1"/>
      <w:bCs w:val="1"/>
      <w:kern w:val="32"/>
      <w:sz w:val="32"/>
      <w:szCs w:val="32"/>
    </w:rPr>
  </w:style>
  <w:style w:type="character" w:styleId="Heading2Char" w:customStyle="1">
    <w:name w:val="Heading 2 Char"/>
    <w:basedOn w:val="DefaultParagraphFont"/>
    <w:link w:val="Heading2"/>
    <w:uiPriority w:val="9"/>
    <w:semiHidden w:val="1"/>
    <w:rsid w:val="00C94330"/>
    <w:rPr>
      <w:rFonts w:asciiTheme="majorHAnsi" w:cstheme="majorBidi" w:eastAsiaTheme="majorEastAsia" w:hAnsiTheme="majorHAnsi"/>
      <w:b w:val="1"/>
      <w:bCs w:val="1"/>
      <w:i w:val="1"/>
      <w:iCs w:val="1"/>
      <w:sz w:val="28"/>
      <w:szCs w:val="28"/>
    </w:rPr>
  </w:style>
  <w:style w:type="character" w:styleId="Heading3Char" w:customStyle="1">
    <w:name w:val="Heading 3 Char"/>
    <w:basedOn w:val="DefaultParagraphFont"/>
    <w:link w:val="Heading3"/>
    <w:uiPriority w:val="9"/>
    <w:semiHidden w:val="1"/>
    <w:rsid w:val="00C94330"/>
    <w:rPr>
      <w:rFonts w:asciiTheme="majorHAnsi" w:cstheme="majorBidi" w:eastAsiaTheme="majorEastAsia" w:hAnsiTheme="majorHAnsi"/>
      <w:b w:val="1"/>
      <w:bCs w:val="1"/>
      <w:sz w:val="26"/>
      <w:szCs w:val="26"/>
    </w:rPr>
  </w:style>
  <w:style w:type="character" w:styleId="Heading4Char" w:customStyle="1">
    <w:name w:val="Heading 4 Char"/>
    <w:basedOn w:val="DefaultParagraphFont"/>
    <w:link w:val="Heading4"/>
    <w:uiPriority w:val="9"/>
    <w:semiHidden w:val="1"/>
    <w:rsid w:val="00C94330"/>
    <w:rPr>
      <w:rFonts w:eastAsiaTheme="minorEastAsia"/>
      <w:b w:val="1"/>
      <w:bCs w:val="1"/>
      <w:sz w:val="28"/>
      <w:szCs w:val="28"/>
    </w:rPr>
  </w:style>
  <w:style w:type="character" w:styleId="Heading5Char" w:customStyle="1">
    <w:name w:val="Heading 5 Char"/>
    <w:basedOn w:val="DefaultParagraphFont"/>
    <w:link w:val="Heading5"/>
    <w:uiPriority w:val="9"/>
    <w:semiHidden w:val="1"/>
    <w:rsid w:val="00C94330"/>
    <w:rPr>
      <w:rFonts w:eastAsiaTheme="minorEastAsia"/>
      <w:b w:val="1"/>
      <w:bCs w:val="1"/>
      <w:i w:val="1"/>
      <w:iCs w:val="1"/>
      <w:sz w:val="26"/>
      <w:szCs w:val="26"/>
    </w:rPr>
  </w:style>
  <w:style w:type="character" w:styleId="Heading6Char" w:customStyle="1">
    <w:name w:val="Heading 6 Char"/>
    <w:basedOn w:val="DefaultParagraphFont"/>
    <w:link w:val="Heading6"/>
    <w:rsid w:val="00C94330"/>
    <w:rPr>
      <w:rFonts w:ascii="Times New Roman" w:cs="Times New Roman" w:eastAsia="Times New Roman" w:hAnsi="Times New Roman"/>
      <w:b w:val="1"/>
      <w:bCs w:val="1"/>
    </w:rPr>
  </w:style>
  <w:style w:type="character" w:styleId="Heading7Char" w:customStyle="1">
    <w:name w:val="Heading 7 Char"/>
    <w:basedOn w:val="DefaultParagraphFont"/>
    <w:link w:val="Heading7"/>
    <w:uiPriority w:val="9"/>
    <w:semiHidden w:val="1"/>
    <w:rsid w:val="00C94330"/>
    <w:rPr>
      <w:rFonts w:eastAsiaTheme="minorEastAsia"/>
      <w:sz w:val="24"/>
      <w:szCs w:val="24"/>
    </w:rPr>
  </w:style>
  <w:style w:type="character" w:styleId="Heading8Char" w:customStyle="1">
    <w:name w:val="Heading 8 Char"/>
    <w:basedOn w:val="DefaultParagraphFont"/>
    <w:link w:val="Heading8"/>
    <w:uiPriority w:val="9"/>
    <w:semiHidden w:val="1"/>
    <w:rsid w:val="00C94330"/>
    <w:rPr>
      <w:rFonts w:eastAsiaTheme="minorEastAsia"/>
      <w:i w:val="1"/>
      <w:iCs w:val="1"/>
      <w:sz w:val="24"/>
      <w:szCs w:val="24"/>
    </w:rPr>
  </w:style>
  <w:style w:type="character" w:styleId="Heading9Char" w:customStyle="1">
    <w:name w:val="Heading 9 Char"/>
    <w:basedOn w:val="DefaultParagraphFont"/>
    <w:link w:val="Heading9"/>
    <w:uiPriority w:val="9"/>
    <w:semiHidden w:val="1"/>
    <w:rsid w:val="00C94330"/>
    <w:rPr>
      <w:rFonts w:asciiTheme="majorHAnsi" w:cstheme="majorBidi" w:eastAsiaTheme="majorEastAsia" w:hAnsiTheme="majorHAnsi"/>
    </w:rPr>
  </w:style>
  <w:style w:type="paragraph" w:styleId="ListParagraph">
    <w:name w:val="List Paragraph"/>
    <w:basedOn w:val="Normal"/>
    <w:uiPriority w:val="34"/>
    <w:qFormat w:val="1"/>
    <w:rsid w:val="00B941FF"/>
    <w:pPr>
      <w:ind w:left="720"/>
      <w:contextualSpacing w:val="1"/>
    </w:pPr>
  </w:style>
  <w:style w:type="character" w:styleId="CommentReference">
    <w:name w:val="annotation reference"/>
    <w:basedOn w:val="DefaultParagraphFont"/>
    <w:uiPriority w:val="99"/>
    <w:semiHidden w:val="1"/>
    <w:unhideWhenUsed w:val="1"/>
    <w:rsid w:val="00610B61"/>
    <w:rPr>
      <w:sz w:val="16"/>
      <w:szCs w:val="16"/>
    </w:rPr>
  </w:style>
  <w:style w:type="paragraph" w:styleId="CommentText">
    <w:name w:val="annotation text"/>
    <w:basedOn w:val="Normal"/>
    <w:link w:val="CommentTextChar"/>
    <w:uiPriority w:val="99"/>
    <w:unhideWhenUsed w:val="1"/>
    <w:rsid w:val="00610B61"/>
  </w:style>
  <w:style w:type="character" w:styleId="CommentTextChar" w:customStyle="1">
    <w:name w:val="Comment Text Char"/>
    <w:basedOn w:val="DefaultParagraphFont"/>
    <w:link w:val="CommentText"/>
    <w:uiPriority w:val="99"/>
    <w:rsid w:val="00610B61"/>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610B61"/>
    <w:rPr>
      <w:b w:val="1"/>
      <w:bCs w:val="1"/>
    </w:rPr>
  </w:style>
  <w:style w:type="character" w:styleId="CommentSubjectChar" w:customStyle="1">
    <w:name w:val="Comment Subject Char"/>
    <w:basedOn w:val="CommentTextChar"/>
    <w:link w:val="CommentSubject"/>
    <w:uiPriority w:val="99"/>
    <w:semiHidden w:val="1"/>
    <w:rsid w:val="00610B61"/>
    <w:rPr>
      <w:rFonts w:ascii="Times New Roman" w:cs="Times New Roman" w:eastAsia="Times New Roman" w:hAnsi="Times New Roman"/>
      <w:b w:val="1"/>
      <w:bCs w:val="1"/>
      <w:sz w:val="20"/>
      <w:szCs w:val="20"/>
    </w:rPr>
  </w:style>
  <w:style w:type="paragraph" w:styleId="Header">
    <w:name w:val="header"/>
    <w:basedOn w:val="Normal"/>
    <w:link w:val="HeaderChar"/>
    <w:uiPriority w:val="99"/>
    <w:unhideWhenUsed w:val="1"/>
    <w:rsid w:val="0034352E"/>
    <w:pPr>
      <w:tabs>
        <w:tab w:val="center" w:pos="4513"/>
        <w:tab w:val="right" w:pos="9026"/>
      </w:tabs>
    </w:pPr>
  </w:style>
  <w:style w:type="character" w:styleId="HeaderChar" w:customStyle="1">
    <w:name w:val="Header Char"/>
    <w:basedOn w:val="DefaultParagraphFont"/>
    <w:link w:val="Header"/>
    <w:uiPriority w:val="99"/>
    <w:rsid w:val="0034352E"/>
    <w:rPr>
      <w:rFonts w:ascii="Times New Roman" w:cs="Times New Roman" w:eastAsia="Times New Roman" w:hAnsi="Times New Roman"/>
      <w:sz w:val="20"/>
      <w:szCs w:val="20"/>
    </w:rPr>
  </w:style>
  <w:style w:type="paragraph" w:styleId="Footer">
    <w:name w:val="footer"/>
    <w:basedOn w:val="Normal"/>
    <w:link w:val="FooterChar"/>
    <w:uiPriority w:val="99"/>
    <w:unhideWhenUsed w:val="1"/>
    <w:rsid w:val="0034352E"/>
    <w:pPr>
      <w:tabs>
        <w:tab w:val="center" w:pos="4513"/>
        <w:tab w:val="right" w:pos="9026"/>
      </w:tabs>
    </w:pPr>
  </w:style>
  <w:style w:type="character" w:styleId="FooterChar" w:customStyle="1">
    <w:name w:val="Footer Char"/>
    <w:basedOn w:val="DefaultParagraphFont"/>
    <w:link w:val="Footer"/>
    <w:uiPriority w:val="99"/>
    <w:rsid w:val="0034352E"/>
    <w:rPr>
      <w:rFonts w:ascii="Times New Roman" w:cs="Times New Roman" w:eastAsia="Times New Roman" w:hAnsi="Times New Roman"/>
      <w:sz w:val="20"/>
      <w:szCs w:val="20"/>
    </w:rPr>
  </w:style>
  <w:style w:type="character" w:styleId="Strong">
    <w:name w:val="Strong"/>
    <w:basedOn w:val="DefaultParagraphFont"/>
    <w:uiPriority w:val="22"/>
    <w:qFormat w:val="1"/>
    <w:rsid w:val="002256A5"/>
    <w:rPr>
      <w:b w:val="1"/>
      <w:bCs w:val="1"/>
    </w:rPr>
  </w:style>
  <w:style w:type="paragraph" w:styleId="NormalWeb">
    <w:name w:val="Normal (Web)"/>
    <w:basedOn w:val="Normal"/>
    <w:uiPriority w:val="99"/>
    <w:unhideWhenUsed w:val="1"/>
    <w:rsid w:val="002256A5"/>
    <w:pPr>
      <w:spacing w:after="100" w:afterAutospacing="1" w:before="100" w:beforeAutospacing="1"/>
    </w:pPr>
    <w:rPr>
      <w:lang w:eastAsia="en-I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a2RnDtdpC+Dh0Ajf0fBKIaZHNQ==">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2025-10-10T15:41:00Z</dcterms:created>
  <dc:creator>lenovo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82fda9c3-9023-418b-8a76-a6f262c57743</vt:lpwstr>
  </property>
</Properties>
</file>